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63E3D" w14:textId="77777777" w:rsidR="00F64F5C" w:rsidRPr="0011708F" w:rsidRDefault="00F64F5C" w:rsidP="00F64F5C">
      <w:pPr>
        <w:rPr>
          <w:rFonts w:cs="Arial"/>
          <w:szCs w:val="24"/>
        </w:rPr>
      </w:pPr>
    </w:p>
    <w:tbl>
      <w:tblPr>
        <w:tblStyle w:val="Grilledutableau"/>
        <w:tblpPr w:leftFromText="141" w:rightFromText="141" w:horzAnchor="margin" w:tblpY="825"/>
        <w:tblW w:w="5000" w:type="pct"/>
        <w:tblLook w:val="04A0" w:firstRow="1" w:lastRow="0" w:firstColumn="1" w:lastColumn="0" w:noHBand="0" w:noVBand="1"/>
      </w:tblPr>
      <w:tblGrid>
        <w:gridCol w:w="751"/>
        <w:gridCol w:w="4963"/>
        <w:gridCol w:w="4401"/>
        <w:gridCol w:w="3879"/>
      </w:tblGrid>
      <w:tr w:rsidR="00F64F5C" w:rsidRPr="0013330C" w14:paraId="4A5E15CE" w14:textId="77777777" w:rsidTr="00450602">
        <w:trPr>
          <w:cantSplit/>
          <w:trHeight w:val="416"/>
        </w:trPr>
        <w:tc>
          <w:tcPr>
            <w:tcW w:w="268" w:type="pct"/>
          </w:tcPr>
          <w:p w14:paraId="154E6907" w14:textId="77777777" w:rsidR="00F64F5C" w:rsidRPr="0013330C" w:rsidRDefault="00F64F5C" w:rsidP="00450602">
            <w:pPr>
              <w:jc w:val="right"/>
              <w:rPr>
                <w:szCs w:val="22"/>
              </w:rPr>
            </w:pPr>
          </w:p>
        </w:tc>
        <w:tc>
          <w:tcPr>
            <w:tcW w:w="1773" w:type="pct"/>
          </w:tcPr>
          <w:p w14:paraId="7C1FF43A" w14:textId="77777777" w:rsidR="00F64F5C" w:rsidRPr="0013330C" w:rsidRDefault="00F64F5C" w:rsidP="00450602">
            <w:pPr>
              <w:jc w:val="both"/>
              <w:rPr>
                <w:b/>
                <w:bCs/>
                <w:szCs w:val="22"/>
              </w:rPr>
            </w:pPr>
            <w:r w:rsidRPr="0013330C">
              <w:rPr>
                <w:b/>
                <w:bCs/>
                <w:szCs w:val="22"/>
              </w:rPr>
              <w:t xml:space="preserve">Gestion </w:t>
            </w:r>
          </w:p>
        </w:tc>
        <w:tc>
          <w:tcPr>
            <w:tcW w:w="1572" w:type="pct"/>
          </w:tcPr>
          <w:p w14:paraId="70E9483C" w14:textId="77777777" w:rsidR="00F64F5C" w:rsidRPr="0013330C" w:rsidRDefault="00F64F5C" w:rsidP="00450602">
            <w:pPr>
              <w:jc w:val="both"/>
              <w:rPr>
                <w:b/>
                <w:bCs/>
                <w:szCs w:val="22"/>
              </w:rPr>
            </w:pPr>
            <w:r w:rsidRPr="0013330C">
              <w:rPr>
                <w:b/>
                <w:bCs/>
                <w:szCs w:val="22"/>
              </w:rPr>
              <w:t>Installations</w:t>
            </w:r>
          </w:p>
        </w:tc>
        <w:tc>
          <w:tcPr>
            <w:tcW w:w="1386" w:type="pct"/>
          </w:tcPr>
          <w:p w14:paraId="408506AE" w14:textId="77777777" w:rsidR="00F64F5C" w:rsidRPr="0013330C" w:rsidRDefault="00F64F5C" w:rsidP="00450602">
            <w:pPr>
              <w:jc w:val="both"/>
              <w:rPr>
                <w:b/>
                <w:bCs/>
                <w:szCs w:val="22"/>
              </w:rPr>
            </w:pPr>
            <w:r w:rsidRPr="0013330C">
              <w:rPr>
                <w:b/>
                <w:bCs/>
                <w:szCs w:val="22"/>
              </w:rPr>
              <w:t>Sensibilisation</w:t>
            </w:r>
          </w:p>
        </w:tc>
      </w:tr>
      <w:tr w:rsidR="00F64F5C" w:rsidRPr="00AB233A" w14:paraId="49C0E432" w14:textId="77777777" w:rsidTr="00450602">
        <w:trPr>
          <w:cantSplit/>
          <w:trHeight w:val="1134"/>
        </w:trPr>
        <w:tc>
          <w:tcPr>
            <w:tcW w:w="268" w:type="pct"/>
            <w:textDirection w:val="btLr"/>
          </w:tcPr>
          <w:p w14:paraId="16775C73" w14:textId="55146FBF" w:rsidR="00F64F5C" w:rsidRPr="00AB233A" w:rsidRDefault="00F64F5C" w:rsidP="00AB233A">
            <w:pPr>
              <w:ind w:left="113" w:right="113"/>
              <w:jc w:val="center"/>
              <w:rPr>
                <w:b/>
                <w:bCs/>
                <w:sz w:val="20"/>
              </w:rPr>
            </w:pPr>
            <w:proofErr w:type="spellStart"/>
            <w:r w:rsidRPr="00AB233A">
              <w:rPr>
                <w:b/>
                <w:bCs/>
                <w:sz w:val="20"/>
              </w:rPr>
              <w:t>Niveau</w:t>
            </w:r>
            <w:proofErr w:type="spellEnd"/>
          </w:p>
          <w:p w14:paraId="7C226EBB" w14:textId="77777777" w:rsidR="00F64F5C" w:rsidRPr="00AB233A" w:rsidRDefault="00F64F5C" w:rsidP="00AB233A">
            <w:pPr>
              <w:ind w:left="113" w:right="113"/>
              <w:jc w:val="center"/>
              <w:rPr>
                <w:b/>
                <w:bCs/>
                <w:sz w:val="20"/>
              </w:rPr>
            </w:pPr>
            <w:r w:rsidRPr="00AB233A">
              <w:rPr>
                <w:b/>
                <w:bCs/>
                <w:sz w:val="20"/>
              </w:rPr>
              <w:t>1</w:t>
            </w:r>
          </w:p>
        </w:tc>
        <w:tc>
          <w:tcPr>
            <w:tcW w:w="1773" w:type="pct"/>
          </w:tcPr>
          <w:p w14:paraId="4FFEFCA9" w14:textId="77777777" w:rsidR="00F64F5C" w:rsidRPr="00053EBA" w:rsidRDefault="00F64F5C" w:rsidP="00F64F5C">
            <w:pPr>
              <w:numPr>
                <w:ilvl w:val="0"/>
                <w:numId w:val="1"/>
              </w:numPr>
              <w:ind w:left="113" w:firstLine="0"/>
              <w:rPr>
                <w:sz w:val="20"/>
                <w:lang w:val="fr-FR"/>
              </w:rPr>
            </w:pPr>
            <w:r w:rsidRPr="00053EBA">
              <w:rPr>
                <w:sz w:val="20"/>
                <w:lang w:val="fr-FR"/>
              </w:rPr>
              <w:t xml:space="preserve">Le gestionnaire portuaire veut améliorer le recyclage. </w:t>
            </w:r>
          </w:p>
          <w:p w14:paraId="042FBBA3" w14:textId="77777777" w:rsidR="00F64F5C" w:rsidRPr="00053EBA" w:rsidRDefault="00F64F5C" w:rsidP="00F64F5C">
            <w:pPr>
              <w:numPr>
                <w:ilvl w:val="0"/>
                <w:numId w:val="1"/>
              </w:numPr>
              <w:ind w:left="113" w:firstLine="0"/>
              <w:rPr>
                <w:sz w:val="20"/>
                <w:lang w:val="fr-FR"/>
              </w:rPr>
            </w:pPr>
            <w:r w:rsidRPr="00053EBA">
              <w:rPr>
                <w:sz w:val="20"/>
                <w:lang w:val="fr-FR"/>
              </w:rPr>
              <w:t>Il n’y a pas encore de stratégie ou de mesure concrète mise en place.</w:t>
            </w:r>
          </w:p>
          <w:p w14:paraId="363E0055" w14:textId="77777777" w:rsidR="00F64F5C" w:rsidRPr="00053EBA" w:rsidRDefault="00F64F5C" w:rsidP="00F64F5C">
            <w:pPr>
              <w:numPr>
                <w:ilvl w:val="0"/>
                <w:numId w:val="1"/>
              </w:numPr>
              <w:ind w:left="113" w:firstLine="0"/>
              <w:rPr>
                <w:sz w:val="20"/>
                <w:lang w:val="fr-FR"/>
              </w:rPr>
            </w:pPr>
            <w:r w:rsidRPr="00053EBA">
              <w:rPr>
                <w:sz w:val="20"/>
                <w:lang w:val="fr-FR"/>
              </w:rPr>
              <w:t>Il n’y a pas de suivi du flux des déchets.</w:t>
            </w:r>
          </w:p>
        </w:tc>
        <w:tc>
          <w:tcPr>
            <w:tcW w:w="1572" w:type="pct"/>
          </w:tcPr>
          <w:p w14:paraId="039F857D" w14:textId="77777777" w:rsidR="00F64F5C" w:rsidRPr="00053EBA" w:rsidRDefault="00F64F5C" w:rsidP="00F64F5C">
            <w:pPr>
              <w:numPr>
                <w:ilvl w:val="0"/>
                <w:numId w:val="1"/>
              </w:numPr>
              <w:ind w:left="113" w:firstLine="0"/>
              <w:jc w:val="both"/>
              <w:rPr>
                <w:sz w:val="20"/>
                <w:lang w:val="fr-FR"/>
              </w:rPr>
            </w:pPr>
            <w:r w:rsidRPr="00053EBA">
              <w:rPr>
                <w:sz w:val="20"/>
                <w:lang w:val="fr-FR"/>
              </w:rPr>
              <w:t>Des poubelles ou des big-bags sont disponibles pour le recyclage du plastique.</w:t>
            </w:r>
          </w:p>
          <w:p w14:paraId="19D0C043" w14:textId="77777777" w:rsidR="00F64F5C" w:rsidRPr="00B0041A" w:rsidRDefault="00F64F5C" w:rsidP="00450602">
            <w:pPr>
              <w:ind w:left="113"/>
              <w:rPr>
                <w:sz w:val="20"/>
                <w:lang w:val="fr-FR"/>
              </w:rPr>
            </w:pPr>
          </w:p>
        </w:tc>
        <w:tc>
          <w:tcPr>
            <w:tcW w:w="1386" w:type="pct"/>
          </w:tcPr>
          <w:p w14:paraId="786C987D" w14:textId="77777777" w:rsidR="00F64F5C" w:rsidRPr="00053EBA" w:rsidRDefault="00F64F5C" w:rsidP="00F64F5C">
            <w:pPr>
              <w:numPr>
                <w:ilvl w:val="0"/>
                <w:numId w:val="1"/>
              </w:numPr>
              <w:ind w:left="113" w:firstLine="0"/>
              <w:jc w:val="both"/>
              <w:rPr>
                <w:sz w:val="20"/>
                <w:lang w:val="fr-FR"/>
              </w:rPr>
            </w:pPr>
            <w:r w:rsidRPr="00053EBA">
              <w:rPr>
                <w:sz w:val="20"/>
                <w:lang w:val="fr-FR"/>
              </w:rPr>
              <w:t>Les pêcheurs et le personnel du port sont peu informés et ils ne maîtrisent pas la préparation des engins de pêche pour le recyclage.</w:t>
            </w:r>
          </w:p>
          <w:p w14:paraId="7922DE8E" w14:textId="77777777" w:rsidR="00F64F5C" w:rsidRPr="00B0041A" w:rsidRDefault="00F64F5C" w:rsidP="00450602">
            <w:pPr>
              <w:ind w:left="113"/>
              <w:rPr>
                <w:sz w:val="20"/>
                <w:lang w:val="fr-FR"/>
              </w:rPr>
            </w:pPr>
          </w:p>
        </w:tc>
      </w:tr>
      <w:tr w:rsidR="00F64F5C" w:rsidRPr="00AB233A" w14:paraId="5E9ADC60" w14:textId="77777777" w:rsidTr="00450602">
        <w:trPr>
          <w:cantSplit/>
          <w:trHeight w:val="1134"/>
        </w:trPr>
        <w:tc>
          <w:tcPr>
            <w:tcW w:w="268" w:type="pct"/>
            <w:textDirection w:val="btLr"/>
          </w:tcPr>
          <w:p w14:paraId="07FF40B0" w14:textId="0C0FC5DC" w:rsidR="00F64F5C" w:rsidRPr="00AB233A" w:rsidRDefault="00F64F5C" w:rsidP="00AB233A">
            <w:pPr>
              <w:ind w:left="113" w:right="113"/>
              <w:jc w:val="center"/>
              <w:rPr>
                <w:b/>
                <w:bCs/>
                <w:sz w:val="20"/>
              </w:rPr>
            </w:pPr>
            <w:proofErr w:type="spellStart"/>
            <w:r w:rsidRPr="00AB233A">
              <w:rPr>
                <w:b/>
                <w:bCs/>
                <w:sz w:val="20"/>
              </w:rPr>
              <w:t>Niveau</w:t>
            </w:r>
            <w:proofErr w:type="spellEnd"/>
          </w:p>
          <w:p w14:paraId="66615057" w14:textId="77777777" w:rsidR="00F64F5C" w:rsidRPr="00AB233A" w:rsidRDefault="00F64F5C" w:rsidP="00AB233A">
            <w:pPr>
              <w:ind w:left="113" w:right="113"/>
              <w:jc w:val="center"/>
              <w:rPr>
                <w:b/>
                <w:bCs/>
                <w:sz w:val="20"/>
              </w:rPr>
            </w:pPr>
            <w:r w:rsidRPr="00AB233A">
              <w:rPr>
                <w:b/>
                <w:bCs/>
                <w:sz w:val="20"/>
              </w:rPr>
              <w:t>2</w:t>
            </w:r>
          </w:p>
        </w:tc>
        <w:tc>
          <w:tcPr>
            <w:tcW w:w="1773" w:type="pct"/>
          </w:tcPr>
          <w:p w14:paraId="3E54007C" w14:textId="77777777" w:rsidR="00F64F5C" w:rsidRPr="00053EBA" w:rsidRDefault="00F64F5C" w:rsidP="00F64F5C">
            <w:pPr>
              <w:numPr>
                <w:ilvl w:val="0"/>
                <w:numId w:val="1"/>
              </w:numPr>
              <w:ind w:left="113" w:firstLine="0"/>
              <w:rPr>
                <w:sz w:val="20"/>
                <w:lang w:val="fr-FR"/>
              </w:rPr>
            </w:pPr>
            <w:r w:rsidRPr="00F64F5C">
              <w:rPr>
                <w:sz w:val="20"/>
                <w:lang w:val="fr-FR"/>
              </w:rPr>
              <w:t>Le gestionnaire portuaire a fixé des objectifs pour augmenter les taux de recyclage.</w:t>
            </w:r>
          </w:p>
          <w:p w14:paraId="37A35796" w14:textId="77777777" w:rsidR="00F64F5C" w:rsidRPr="00053EBA" w:rsidRDefault="00F64F5C" w:rsidP="00F64F5C">
            <w:pPr>
              <w:numPr>
                <w:ilvl w:val="0"/>
                <w:numId w:val="1"/>
              </w:numPr>
              <w:ind w:left="113" w:firstLine="0"/>
              <w:rPr>
                <w:sz w:val="20"/>
                <w:lang w:val="fr-FR"/>
              </w:rPr>
            </w:pPr>
            <w:r w:rsidRPr="00F64F5C">
              <w:rPr>
                <w:sz w:val="20"/>
                <w:lang w:val="fr-FR"/>
              </w:rPr>
              <w:t>Les flux de déchets sont mesurés et analysés.</w:t>
            </w:r>
          </w:p>
          <w:p w14:paraId="1063D45C" w14:textId="77777777" w:rsidR="00F64F5C" w:rsidRPr="00F64F5C" w:rsidRDefault="00F64F5C" w:rsidP="00F64F5C">
            <w:pPr>
              <w:numPr>
                <w:ilvl w:val="0"/>
                <w:numId w:val="1"/>
              </w:numPr>
              <w:ind w:left="113" w:firstLine="0"/>
              <w:rPr>
                <w:sz w:val="20"/>
                <w:lang w:val="fr-FR"/>
              </w:rPr>
            </w:pPr>
            <w:r w:rsidRPr="00F64F5C">
              <w:rPr>
                <w:sz w:val="20"/>
                <w:lang w:val="fr-FR"/>
              </w:rPr>
              <w:t>Les quais sont régulièrement nettoyés afin d'éviter que les déchets ne soient rejetés à la mer.</w:t>
            </w:r>
          </w:p>
        </w:tc>
        <w:tc>
          <w:tcPr>
            <w:tcW w:w="1572" w:type="pct"/>
          </w:tcPr>
          <w:p w14:paraId="60D6901B" w14:textId="77777777" w:rsidR="00F64F5C" w:rsidRPr="00F64F5C" w:rsidRDefault="00F64F5C" w:rsidP="00F64F5C">
            <w:pPr>
              <w:numPr>
                <w:ilvl w:val="0"/>
                <w:numId w:val="1"/>
              </w:numPr>
              <w:ind w:left="113" w:firstLine="0"/>
              <w:rPr>
                <w:sz w:val="20"/>
                <w:lang w:val="fr-FR"/>
              </w:rPr>
            </w:pPr>
            <w:r w:rsidRPr="00F64F5C">
              <w:rPr>
                <w:sz w:val="20"/>
                <w:lang w:val="fr-FR"/>
              </w:rPr>
              <w:t>Des conteneurs ou poubelles dédiés sont disponibles pour le recyclage des engins de pêche usagés.</w:t>
            </w:r>
          </w:p>
          <w:p w14:paraId="22634EFA" w14:textId="77777777" w:rsidR="00F64F5C" w:rsidRPr="00F64F5C" w:rsidRDefault="00F64F5C" w:rsidP="00F64F5C">
            <w:pPr>
              <w:numPr>
                <w:ilvl w:val="0"/>
                <w:numId w:val="1"/>
              </w:numPr>
              <w:ind w:left="113" w:firstLine="0"/>
              <w:rPr>
                <w:sz w:val="20"/>
                <w:lang w:val="fr-FR"/>
              </w:rPr>
            </w:pPr>
            <w:r w:rsidRPr="00F64F5C">
              <w:rPr>
                <w:sz w:val="20"/>
                <w:lang w:val="fr-FR"/>
              </w:rPr>
              <w:t>Les dépôts sauvages sont limités grâce à la mise en place d’une zone dédiée pour les déchets.</w:t>
            </w:r>
          </w:p>
          <w:p w14:paraId="56D98743" w14:textId="77777777" w:rsidR="00F64F5C" w:rsidRPr="00F64F5C" w:rsidRDefault="00F64F5C" w:rsidP="00F64F5C">
            <w:pPr>
              <w:numPr>
                <w:ilvl w:val="0"/>
                <w:numId w:val="1"/>
              </w:numPr>
              <w:ind w:left="113" w:firstLine="0"/>
              <w:rPr>
                <w:sz w:val="20"/>
                <w:lang w:val="fr-FR"/>
              </w:rPr>
            </w:pPr>
            <w:r w:rsidRPr="00F64F5C">
              <w:rPr>
                <w:sz w:val="20"/>
                <w:lang w:val="fr-FR"/>
              </w:rPr>
              <w:t>Des amendes sont appliquées en cas de dépôt sauvage.</w:t>
            </w:r>
          </w:p>
        </w:tc>
        <w:tc>
          <w:tcPr>
            <w:tcW w:w="1386" w:type="pct"/>
          </w:tcPr>
          <w:p w14:paraId="72270940" w14:textId="77777777" w:rsidR="00F64F5C" w:rsidRPr="00F64F5C" w:rsidRDefault="00F64F5C" w:rsidP="00F64F5C">
            <w:pPr>
              <w:numPr>
                <w:ilvl w:val="0"/>
                <w:numId w:val="1"/>
              </w:numPr>
              <w:ind w:left="113" w:firstLine="0"/>
              <w:rPr>
                <w:sz w:val="20"/>
                <w:lang w:val="fr-FR"/>
              </w:rPr>
            </w:pPr>
            <w:r w:rsidRPr="00F64F5C">
              <w:rPr>
                <w:sz w:val="20"/>
                <w:lang w:val="fr-FR"/>
              </w:rPr>
              <w:t xml:space="preserve">Les pêcheurs et le personnel du port sont informés sur la manière de préparer les engins de pêche usagés pour le recyclage et sur la manière de trier les déchets. </w:t>
            </w:r>
          </w:p>
        </w:tc>
      </w:tr>
      <w:tr w:rsidR="00F64F5C" w:rsidRPr="00AB233A" w14:paraId="613A6CA0" w14:textId="77777777" w:rsidTr="00450602">
        <w:trPr>
          <w:cantSplit/>
          <w:trHeight w:val="1134"/>
        </w:trPr>
        <w:tc>
          <w:tcPr>
            <w:tcW w:w="268" w:type="pct"/>
            <w:textDirection w:val="btLr"/>
          </w:tcPr>
          <w:p w14:paraId="76054017" w14:textId="542649BC" w:rsidR="00F64F5C" w:rsidRPr="00AB233A" w:rsidRDefault="00F64F5C" w:rsidP="00AB233A">
            <w:pPr>
              <w:ind w:left="113" w:right="113"/>
              <w:jc w:val="center"/>
              <w:rPr>
                <w:b/>
                <w:bCs/>
                <w:sz w:val="20"/>
              </w:rPr>
            </w:pPr>
            <w:proofErr w:type="spellStart"/>
            <w:r w:rsidRPr="00AB233A">
              <w:rPr>
                <w:b/>
                <w:bCs/>
                <w:sz w:val="20"/>
              </w:rPr>
              <w:t>Niveau</w:t>
            </w:r>
            <w:proofErr w:type="spellEnd"/>
          </w:p>
          <w:p w14:paraId="42789DCE" w14:textId="77777777" w:rsidR="00F64F5C" w:rsidRPr="00AB233A" w:rsidRDefault="00F64F5C" w:rsidP="00AB233A">
            <w:pPr>
              <w:ind w:left="113" w:right="113"/>
              <w:jc w:val="center"/>
              <w:rPr>
                <w:b/>
                <w:bCs/>
                <w:sz w:val="20"/>
              </w:rPr>
            </w:pPr>
            <w:r w:rsidRPr="00AB233A">
              <w:rPr>
                <w:b/>
                <w:bCs/>
                <w:sz w:val="20"/>
              </w:rPr>
              <w:t>3</w:t>
            </w:r>
          </w:p>
        </w:tc>
        <w:tc>
          <w:tcPr>
            <w:tcW w:w="1773" w:type="pct"/>
          </w:tcPr>
          <w:p w14:paraId="284AAD99" w14:textId="77777777" w:rsidR="00F64F5C" w:rsidRPr="00F64F5C" w:rsidRDefault="00F64F5C" w:rsidP="00F64F5C">
            <w:pPr>
              <w:numPr>
                <w:ilvl w:val="0"/>
                <w:numId w:val="1"/>
              </w:numPr>
              <w:ind w:left="113" w:firstLine="0"/>
              <w:rPr>
                <w:sz w:val="20"/>
                <w:lang w:val="fr-FR"/>
              </w:rPr>
            </w:pPr>
            <w:r w:rsidRPr="00F64F5C">
              <w:rPr>
                <w:sz w:val="20"/>
                <w:lang w:val="fr-FR"/>
              </w:rPr>
              <w:t>Les objectifs de recyclage sont systématiquement atteints et revus à la hausse.</w:t>
            </w:r>
          </w:p>
          <w:p w14:paraId="53F27E2E" w14:textId="77777777" w:rsidR="00F64F5C" w:rsidRPr="00F64F5C" w:rsidRDefault="00F64F5C" w:rsidP="00F64F5C">
            <w:pPr>
              <w:numPr>
                <w:ilvl w:val="0"/>
                <w:numId w:val="1"/>
              </w:numPr>
              <w:ind w:left="113" w:firstLine="0"/>
              <w:rPr>
                <w:sz w:val="20"/>
                <w:lang w:val="fr-FR"/>
              </w:rPr>
            </w:pPr>
            <w:r w:rsidRPr="00F64F5C">
              <w:rPr>
                <w:sz w:val="20"/>
                <w:lang w:val="fr-FR"/>
              </w:rPr>
              <w:t>Les contrats de gestion des déchets sont régulièrement actualisés.</w:t>
            </w:r>
          </w:p>
          <w:p w14:paraId="18DF7C03" w14:textId="77777777" w:rsidR="00F64F5C" w:rsidRPr="00F64F5C" w:rsidRDefault="00F64F5C" w:rsidP="00F64F5C">
            <w:pPr>
              <w:numPr>
                <w:ilvl w:val="0"/>
                <w:numId w:val="1"/>
              </w:numPr>
              <w:ind w:left="113" w:firstLine="0"/>
              <w:rPr>
                <w:sz w:val="20"/>
                <w:lang w:val="fr-FR"/>
              </w:rPr>
            </w:pPr>
            <w:r w:rsidRPr="00F64F5C">
              <w:rPr>
                <w:sz w:val="20"/>
                <w:lang w:val="fr-FR"/>
              </w:rPr>
              <w:t>Le flux des déchets est contrôlé et les économies réalisées grâce au recyclage par rapport à l’enfouissement des déchets sont prises en compte.</w:t>
            </w:r>
          </w:p>
          <w:p w14:paraId="50A535A3" w14:textId="77777777" w:rsidR="00F64F5C" w:rsidRPr="00053EBA" w:rsidRDefault="00F64F5C" w:rsidP="00F64F5C">
            <w:pPr>
              <w:numPr>
                <w:ilvl w:val="0"/>
                <w:numId w:val="1"/>
              </w:numPr>
              <w:ind w:left="113" w:firstLine="0"/>
              <w:rPr>
                <w:sz w:val="20"/>
                <w:lang w:val="fr-FR"/>
              </w:rPr>
            </w:pPr>
            <w:r w:rsidRPr="00F64F5C">
              <w:rPr>
                <w:sz w:val="20"/>
                <w:lang w:val="fr-FR"/>
              </w:rPr>
              <w:t>Le contrôle du flux des déchets est assuré, et les économies réalisés grâce au recyclage, en comparaison avec l'enfouissement, sont répercutés dans la redevance.</w:t>
            </w:r>
          </w:p>
          <w:p w14:paraId="6D07910B" w14:textId="77777777" w:rsidR="00F64F5C" w:rsidRPr="00053EBA" w:rsidRDefault="00F64F5C" w:rsidP="00F64F5C">
            <w:pPr>
              <w:numPr>
                <w:ilvl w:val="0"/>
                <w:numId w:val="1"/>
              </w:numPr>
              <w:ind w:left="113" w:firstLine="0"/>
              <w:rPr>
                <w:sz w:val="20"/>
                <w:lang w:val="fr-FR"/>
              </w:rPr>
            </w:pPr>
            <w:r w:rsidRPr="00F64F5C">
              <w:rPr>
                <w:sz w:val="20"/>
                <w:lang w:val="fr-FR"/>
              </w:rPr>
              <w:t>Le port est bien entretenu, les sites de réparation sont nettoyés et des mesures de lutte contre la pollution sont mises en place.</w:t>
            </w:r>
          </w:p>
        </w:tc>
        <w:tc>
          <w:tcPr>
            <w:tcW w:w="1572" w:type="pct"/>
          </w:tcPr>
          <w:p w14:paraId="5654433D" w14:textId="77777777" w:rsidR="00F64F5C" w:rsidRPr="00F64F5C" w:rsidRDefault="00F64F5C" w:rsidP="00F64F5C">
            <w:pPr>
              <w:numPr>
                <w:ilvl w:val="0"/>
                <w:numId w:val="1"/>
              </w:numPr>
              <w:ind w:left="113" w:firstLine="0"/>
              <w:rPr>
                <w:sz w:val="20"/>
                <w:lang w:val="fr-FR"/>
              </w:rPr>
            </w:pPr>
            <w:r w:rsidRPr="00F64F5C">
              <w:rPr>
                <w:sz w:val="20"/>
                <w:lang w:val="fr-FR"/>
              </w:rPr>
              <w:t xml:space="preserve">Les conteneurs dédiés sont bien signalés, largement utilisés par les pêcheurs et le personnel et vidés dès que c’est nécessaire. </w:t>
            </w:r>
          </w:p>
          <w:p w14:paraId="79A458E4" w14:textId="77777777" w:rsidR="00F64F5C" w:rsidRPr="00F64F5C" w:rsidRDefault="00F64F5C" w:rsidP="00F64F5C">
            <w:pPr>
              <w:numPr>
                <w:ilvl w:val="0"/>
                <w:numId w:val="1"/>
              </w:numPr>
              <w:ind w:left="113" w:firstLine="0"/>
              <w:rPr>
                <w:sz w:val="20"/>
                <w:lang w:val="fr-FR"/>
              </w:rPr>
            </w:pPr>
            <w:r w:rsidRPr="00F64F5C">
              <w:rPr>
                <w:sz w:val="20"/>
                <w:lang w:val="fr-FR"/>
              </w:rPr>
              <w:t>Les engins de pêche usagés sont démontés et stockés séparément avant d’être collectés.</w:t>
            </w:r>
          </w:p>
          <w:p w14:paraId="30F32BF3" w14:textId="77777777" w:rsidR="00F64F5C" w:rsidRPr="00F64F5C" w:rsidRDefault="00F64F5C" w:rsidP="00F64F5C">
            <w:pPr>
              <w:numPr>
                <w:ilvl w:val="0"/>
                <w:numId w:val="1"/>
              </w:numPr>
              <w:ind w:left="113" w:firstLine="0"/>
              <w:rPr>
                <w:sz w:val="20"/>
                <w:lang w:val="fr-FR"/>
              </w:rPr>
            </w:pPr>
            <w:r w:rsidRPr="00F64F5C">
              <w:rPr>
                <w:sz w:val="20"/>
                <w:lang w:val="fr-FR"/>
              </w:rPr>
              <w:t>Différents types d'engin de pêche usagé sont recyclés.</w:t>
            </w:r>
          </w:p>
          <w:p w14:paraId="7BE9CC56" w14:textId="77777777" w:rsidR="00F64F5C" w:rsidRPr="00F64F5C" w:rsidRDefault="00F64F5C" w:rsidP="00F64F5C">
            <w:pPr>
              <w:numPr>
                <w:ilvl w:val="0"/>
                <w:numId w:val="1"/>
              </w:numPr>
              <w:ind w:left="113" w:firstLine="0"/>
              <w:rPr>
                <w:sz w:val="20"/>
                <w:lang w:val="fr-FR"/>
              </w:rPr>
            </w:pPr>
            <w:r w:rsidRPr="00F64F5C">
              <w:rPr>
                <w:sz w:val="20"/>
                <w:lang w:val="fr-FR"/>
              </w:rPr>
              <w:t>La signalisation et la vidéosurveillance des installations minimisent la  contamination des matières à recycler.</w:t>
            </w:r>
          </w:p>
          <w:p w14:paraId="5350EEE2" w14:textId="77777777" w:rsidR="00F64F5C" w:rsidRPr="00292F3B" w:rsidRDefault="00F64F5C" w:rsidP="00F64F5C">
            <w:pPr>
              <w:numPr>
                <w:ilvl w:val="0"/>
                <w:numId w:val="1"/>
              </w:numPr>
              <w:ind w:left="113" w:firstLine="0"/>
              <w:rPr>
                <w:sz w:val="20"/>
                <w:lang w:val="fr-FR"/>
              </w:rPr>
            </w:pPr>
            <w:r w:rsidRPr="00F64F5C">
              <w:rPr>
                <w:sz w:val="20"/>
                <w:lang w:val="fr-FR"/>
              </w:rPr>
              <w:t xml:space="preserve">Le personnel du port dispose du temps et des ressources nécessaires pour préparer les engins de pêche usagés au recyclage (démontage, nettoyage, etc.) </w:t>
            </w:r>
          </w:p>
        </w:tc>
        <w:tc>
          <w:tcPr>
            <w:tcW w:w="1386" w:type="pct"/>
          </w:tcPr>
          <w:p w14:paraId="62E946D1" w14:textId="77777777" w:rsidR="00F64F5C" w:rsidRPr="00F64F5C" w:rsidRDefault="00F64F5C" w:rsidP="00F64F5C">
            <w:pPr>
              <w:numPr>
                <w:ilvl w:val="0"/>
                <w:numId w:val="1"/>
              </w:numPr>
              <w:ind w:left="113" w:firstLine="0"/>
              <w:rPr>
                <w:sz w:val="20"/>
                <w:lang w:val="fr-FR"/>
              </w:rPr>
            </w:pPr>
            <w:r w:rsidRPr="00F64F5C">
              <w:rPr>
                <w:sz w:val="20"/>
                <w:lang w:val="fr-FR"/>
              </w:rPr>
              <w:t xml:space="preserve">Les pêcheurs et le personnel du port sont informés sur le processus de recyclage et connaissent les avantages pour l’environnement marin. </w:t>
            </w:r>
          </w:p>
          <w:p w14:paraId="2A4E9D4A" w14:textId="77777777" w:rsidR="00F64F5C" w:rsidRPr="00F64F5C" w:rsidRDefault="00F64F5C" w:rsidP="00F64F5C">
            <w:pPr>
              <w:numPr>
                <w:ilvl w:val="0"/>
                <w:numId w:val="1"/>
              </w:numPr>
              <w:ind w:left="113" w:firstLine="0"/>
              <w:rPr>
                <w:sz w:val="20"/>
                <w:lang w:val="fr-FR"/>
              </w:rPr>
            </w:pPr>
            <w:r w:rsidRPr="00F64F5C">
              <w:rPr>
                <w:sz w:val="20"/>
                <w:lang w:val="fr-FR"/>
              </w:rPr>
              <w:t>La communication entre les acteurs du port est encouragée.</w:t>
            </w:r>
          </w:p>
          <w:p w14:paraId="24F4DFCC" w14:textId="77777777" w:rsidR="00F64F5C" w:rsidRPr="00F64F5C" w:rsidRDefault="00F64F5C" w:rsidP="00F64F5C">
            <w:pPr>
              <w:numPr>
                <w:ilvl w:val="0"/>
                <w:numId w:val="1"/>
              </w:numPr>
              <w:ind w:left="113" w:firstLine="0"/>
              <w:rPr>
                <w:sz w:val="20"/>
                <w:lang w:val="fr-FR"/>
              </w:rPr>
            </w:pPr>
            <w:r w:rsidRPr="00F64F5C">
              <w:rPr>
                <w:sz w:val="20"/>
                <w:lang w:val="fr-FR"/>
              </w:rPr>
              <w:t>Une  collaboration existe avec les ports voisins pour coordonner les collectes et échanger sur les problématiques rencontrées.</w:t>
            </w:r>
          </w:p>
        </w:tc>
      </w:tr>
    </w:tbl>
    <w:p w14:paraId="196615F6" w14:textId="77777777" w:rsidR="00F64F5C" w:rsidRPr="00AB233A" w:rsidRDefault="00F64F5C" w:rsidP="00F64F5C">
      <w:pPr>
        <w:rPr>
          <w:sz w:val="20"/>
          <w:lang w:val="fr-FR"/>
        </w:rPr>
      </w:pPr>
      <w:r w:rsidRPr="00AB233A">
        <w:rPr>
          <w:b/>
          <w:bCs/>
          <w:sz w:val="20"/>
          <w:lang w:val="fr-FR"/>
        </w:rPr>
        <w:t>Grille d’évaluation pour les ports</w:t>
      </w:r>
      <w:r w:rsidRPr="00AB233A">
        <w:rPr>
          <w:sz w:val="20"/>
          <w:lang w:val="fr-FR"/>
        </w:rPr>
        <w:t xml:space="preserve"> </w:t>
      </w:r>
      <w:r w:rsidRPr="00AB233A">
        <w:rPr>
          <w:i/>
          <w:iCs/>
          <w:sz w:val="20"/>
          <w:lang w:val="fr-FR"/>
        </w:rPr>
        <w:t xml:space="preserve">(adaptée du Guide pour les ports sur le recyclage des engins de pêche – Université de Plymouth – projet </w:t>
      </w:r>
      <w:proofErr w:type="spellStart"/>
      <w:r w:rsidRPr="00AB233A">
        <w:rPr>
          <w:i/>
          <w:iCs/>
          <w:sz w:val="20"/>
          <w:lang w:val="fr-FR"/>
        </w:rPr>
        <w:t>INdIGO</w:t>
      </w:r>
      <w:proofErr w:type="spellEnd"/>
      <w:r w:rsidRPr="00AB233A">
        <w:rPr>
          <w:i/>
          <w:iCs/>
          <w:sz w:val="20"/>
          <w:lang w:val="fr-FR"/>
        </w:rPr>
        <w:t>)</w:t>
      </w:r>
    </w:p>
    <w:p w14:paraId="7C653E0E" w14:textId="77777777" w:rsidR="00F64F5C" w:rsidRPr="00B0041A" w:rsidRDefault="00F64F5C" w:rsidP="00F64F5C">
      <w:pPr>
        <w:rPr>
          <w:rFonts w:cs="Arial"/>
          <w:szCs w:val="24"/>
          <w:lang w:val="fr-FR"/>
        </w:rPr>
      </w:pPr>
    </w:p>
    <w:p w14:paraId="7E0F37FA" w14:textId="77777777" w:rsidR="009925F4" w:rsidRPr="00F64F5C" w:rsidRDefault="009925F4">
      <w:pPr>
        <w:rPr>
          <w:lang w:val="fr-FR"/>
        </w:rPr>
      </w:pPr>
    </w:p>
    <w:sectPr w:rsidR="009925F4" w:rsidRPr="00F64F5C" w:rsidSect="00AB233A">
      <w:pgSz w:w="16838" w:h="11906" w:orient="landscape"/>
      <w:pgMar w:top="1701" w:right="1417" w:bottom="1701" w:left="141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5A6D5A"/>
    <w:multiLevelType w:val="hybridMultilevel"/>
    <w:tmpl w:val="99A24B8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146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F5C"/>
    <w:rsid w:val="00670A83"/>
    <w:rsid w:val="007402B5"/>
    <w:rsid w:val="00787CCA"/>
    <w:rsid w:val="009925F4"/>
    <w:rsid w:val="00AB233A"/>
    <w:rsid w:val="00E706F5"/>
    <w:rsid w:val="00F6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A01FF"/>
  <w15:chartTrackingRefBased/>
  <w15:docId w15:val="{0E057DF5-C079-40BD-AF20-F9A571667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F5C"/>
    <w:pPr>
      <w:spacing w:after="0" w:line="240" w:lineRule="auto"/>
    </w:pPr>
    <w:rPr>
      <w:rFonts w:ascii="Arial" w:eastAsia="Times New Roman" w:hAnsi="Arial" w:cs="Times New Roman"/>
      <w:kern w:val="0"/>
      <w:szCs w:val="20"/>
      <w:lang w:val="en-GB" w:eastAsia="es-ES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F64F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64F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64F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64F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64F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64F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64F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64F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64F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64F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64F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64F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64F5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64F5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64F5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64F5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64F5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64F5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64F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64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64F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64F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64F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64F5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64F5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64F5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64F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64F5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64F5C"/>
    <w:rPr>
      <w:b/>
      <w:bCs/>
      <w:smallCaps/>
      <w:color w:val="0F4761" w:themeColor="accent1" w:themeShade="BF"/>
      <w:spacing w:val="5"/>
    </w:rPr>
  </w:style>
  <w:style w:type="character" w:styleId="Marquedecommentaire">
    <w:name w:val="annotation reference"/>
    <w:basedOn w:val="Policepardfaut"/>
    <w:uiPriority w:val="99"/>
    <w:semiHidden/>
    <w:unhideWhenUsed/>
    <w:rsid w:val="00F64F5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64F5C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64F5C"/>
    <w:rPr>
      <w:rFonts w:ascii="Arial" w:eastAsia="Times New Roman" w:hAnsi="Arial" w:cs="Times New Roman"/>
      <w:kern w:val="0"/>
      <w:sz w:val="20"/>
      <w:szCs w:val="20"/>
      <w:lang w:val="en-GB" w:eastAsia="es-ES"/>
      <w14:ligatures w14:val="none"/>
    </w:rPr>
  </w:style>
  <w:style w:type="table" w:styleId="Grilledutableau">
    <w:name w:val="Table Grid"/>
    <w:basedOn w:val="TableauNormal"/>
    <w:uiPriority w:val="39"/>
    <w:rsid w:val="00F64F5C"/>
    <w:pPr>
      <w:spacing w:after="0" w:line="240" w:lineRule="auto"/>
    </w:pPr>
    <w:rPr>
      <w:kern w:val="0"/>
      <w:sz w:val="22"/>
      <w:szCs w:val="22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307861-c61a-4e0a-9c08-b2a6c3ebb52d">
      <Terms xmlns="http://schemas.microsoft.com/office/infopath/2007/PartnerControls"/>
    </lcf76f155ced4ddcb4097134ff3c332f>
    <TaxCatchAll xmlns="cdc588bb-9eee-4127-93b5-76437cb0151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121E16E6852E46A220AFFAC1218858" ma:contentTypeVersion="13" ma:contentTypeDescription="Crée un document." ma:contentTypeScope="" ma:versionID="b8aa0adcd936481120a770974449d93a">
  <xsd:schema xmlns:xsd="http://www.w3.org/2001/XMLSchema" xmlns:xs="http://www.w3.org/2001/XMLSchema" xmlns:p="http://schemas.microsoft.com/office/2006/metadata/properties" xmlns:ns2="83307861-c61a-4e0a-9c08-b2a6c3ebb52d" xmlns:ns3="cdc588bb-9eee-4127-93b5-76437cb01514" targetNamespace="http://schemas.microsoft.com/office/2006/metadata/properties" ma:root="true" ma:fieldsID="ca1e1202e84a2b471269fc333b759ccc" ns2:_="" ns3:_="">
    <xsd:import namespace="83307861-c61a-4e0a-9c08-b2a6c3ebb52d"/>
    <xsd:import namespace="cdc588bb-9eee-4127-93b5-76437cb015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307861-c61a-4e0a-9c08-b2a6c3ebb5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4670337f-dde9-4477-a89d-bd6f59797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c588bb-9eee-4127-93b5-76437cb0151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69b1e5e-edc8-4d6f-adc0-5d1e8c23ce78}" ma:internalName="TaxCatchAll" ma:showField="CatchAllData" ma:web="cdc588bb-9eee-4127-93b5-76437cb015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12ED7B-33B4-4B62-AB97-D1963273DF35}">
  <ds:schemaRefs>
    <ds:schemaRef ds:uri="http://schemas.microsoft.com/office/2006/metadata/properties"/>
    <ds:schemaRef ds:uri="http://schemas.microsoft.com/office/infopath/2007/PartnerControls"/>
    <ds:schemaRef ds:uri="83307861-c61a-4e0a-9c08-b2a6c3ebb52d"/>
    <ds:schemaRef ds:uri="cdc588bb-9eee-4127-93b5-76437cb01514"/>
  </ds:schemaRefs>
</ds:datastoreItem>
</file>

<file path=customXml/itemProps2.xml><?xml version="1.0" encoding="utf-8"?>
<ds:datastoreItem xmlns:ds="http://schemas.openxmlformats.org/officeDocument/2006/customXml" ds:itemID="{946E48DD-00B1-4296-99F2-7D20F73A76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04BDC8-7D60-437E-9D55-34D34727FE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307861-c61a-4e0a-9c08-b2a6c3ebb52d"/>
    <ds:schemaRef ds:uri="cdc588bb-9eee-4127-93b5-76437cb015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2274</Characters>
  <Application>Microsoft Office Word</Application>
  <DocSecurity>0</DocSecurity>
  <Lines>18</Lines>
  <Paragraphs>5</Paragraphs>
  <ScaleCrop>false</ScaleCrop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Allanos</dc:creator>
  <cp:keywords/>
  <dc:description/>
  <cp:lastModifiedBy>Claire Allanos</cp:lastModifiedBy>
  <cp:revision>2</cp:revision>
  <dcterms:created xsi:type="dcterms:W3CDTF">2025-04-08T09:10:00Z</dcterms:created>
  <dcterms:modified xsi:type="dcterms:W3CDTF">2025-09-15T10:42:00Z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0x0101005D121E16E6852E46A220AFFAC1218858</vt:lpwstr>
  </property>
</Properties>
</file>